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712" w:type="pct"/>
        <w:tblInd w:w="48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0"/>
      </w:tblGrid>
      <w:tr w:rsidR="00290D73" w:rsidRPr="00C73B40" w:rsidTr="001E457B">
        <w:trPr>
          <w:trHeight w:val="1699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0D73" w:rsidRPr="006F18CA" w:rsidRDefault="00290D73" w:rsidP="001E457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Одобрено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постановлением </w:t>
            </w:r>
            <w:r w:rsidRPr="006F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Кабинета Министров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90D73" w:rsidRPr="00C73B40" w:rsidRDefault="00290D73" w:rsidP="001E457B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 w:rsidRPr="006F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6F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Pr="006F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</w:tc>
      </w:tr>
    </w:tbl>
    <w:p w:rsidR="00290D73" w:rsidRDefault="00290D73" w:rsidP="00290D73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0D73" w:rsidRDefault="00290D73" w:rsidP="00290D73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0D73" w:rsidRDefault="00290D73" w:rsidP="00290D73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3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  <w:r w:rsidRPr="00C73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702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</w:t>
      </w:r>
      <w:r w:rsidRPr="00C73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 </w:t>
      </w:r>
    </w:p>
    <w:p w:rsidR="00290D73" w:rsidRDefault="00290D73" w:rsidP="00290D73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3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проект Закона Кыргызской Республики </w:t>
      </w:r>
    </w:p>
    <w:p w:rsidR="00290D73" w:rsidRDefault="00290D73" w:rsidP="00290D73">
      <w:pPr>
        <w:spacing w:after="0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Патентный закон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90D73" w:rsidRPr="00C73B40" w:rsidRDefault="00290D73" w:rsidP="00290D7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0D73" w:rsidRPr="00702FA7" w:rsidRDefault="00290D73" w:rsidP="00290D73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Кыргызской Республики в соответствии со </w:t>
      </w:r>
      <w:hyperlink r:id="rId7" w:anchor="st_31" w:history="1">
        <w:r w:rsidRPr="00C525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27</w:t>
        </w:r>
      </w:hyperlink>
      <w:r w:rsidRPr="00C73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73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Кабинете Министров</w:t>
      </w:r>
      <w:r w:rsidRPr="00C73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73B4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рассмотрев проект Закона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Патентный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73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инициированный </w:t>
      </w:r>
      <w:r w:rsidRPr="00702F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агентством интеллектуальной собственности инноваций при Кабинете Министров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(Кыргызпатент)</w:t>
      </w:r>
      <w:r w:rsidRPr="00C73B4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приходит к следующему заключению.</w:t>
      </w:r>
    </w:p>
    <w:p w:rsidR="00290D73" w:rsidRPr="00290D73" w:rsidRDefault="00290D73" w:rsidP="00290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 Республика является членом Всемирной торговой организации (ВТО) с 20 декабря 1998 г. Таким образом, она связана положениями Соглашения ТРИПС, в том числе его части III, касающейся обеспечения соблюдения прав интеллектуальной собственности. Следовательно, в том что касается обеспечения соблюдения прав интеллектуальной собственности, необходимо, чтобы положения части III Соглашения ТРИПС были полностью выполнены, в том числе в отношении соблюдения патентных прав.</w:t>
      </w:r>
    </w:p>
    <w:p w:rsidR="00290D73" w:rsidRPr="00290D73" w:rsidRDefault="00290D73" w:rsidP="00290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Патентный закон Кыргызской Республики (далее – Патентный закон) включает в себя важные обязательства, вытекающие из многосторонней нормативной базы, а также предусматривает реализацию некоторых гибких возможностей, предусмотренных соответствующими договорами. Вместе с тем в имеющийся текст внесены ряд поправок с целью обеспечить его более полное соответствие положениям многосторонних договоров, а также повысить общий уровень четкости и последовательности текста. </w:t>
      </w:r>
    </w:p>
    <w:p w:rsidR="00290D73" w:rsidRPr="00290D73" w:rsidRDefault="00290D73" w:rsidP="00290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целях совершенствования структуры Патентного закона и повышения четкости его изложения в его текст внесены ряд изменений, касающихся как формулировок некоторых статей, так и тематической организации закона. Так, например, предлагается новый порядок перечисления требований, касающихся подачи заявок, и формальных требований.</w:t>
      </w:r>
    </w:p>
    <w:p w:rsidR="00290D73" w:rsidRPr="00290D73" w:rsidRDefault="00290D73" w:rsidP="00290D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Кыргызская Республика является участницей Евразийской патентной конвенции (ЕАПК) с 13 января 1996 г. и взяла </w:t>
      </w: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себя обязательства по защите прав  владельцев в области интеллектуальной собственности, а именно в области изобретений и промышленных образцов.</w:t>
      </w:r>
    </w:p>
    <w:p w:rsidR="00290D73" w:rsidRPr="00290D73" w:rsidRDefault="00290D73" w:rsidP="00290D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ЕАПК выдается евразийский патент на изобретение, который проходит полную процедуру экспертизы, и охраняется на территории государств-членов.</w:t>
      </w:r>
    </w:p>
    <w:p w:rsidR="00290D73" w:rsidRPr="00290D73" w:rsidRDefault="00290D73" w:rsidP="00290D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настоящее время в Кыргызской Республике на изобретения существует две системы выдачи патента: </w:t>
      </w:r>
    </w:p>
    <w:p w:rsidR="00290D73" w:rsidRPr="00290D73" w:rsidRDefault="00290D73" w:rsidP="00290D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патент под ответственность заявителя на изобретение;</w:t>
      </w:r>
    </w:p>
    <w:p w:rsidR="00290D73" w:rsidRPr="00290D73" w:rsidRDefault="00290D73" w:rsidP="00290D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патент на изобретение.</w:t>
      </w:r>
    </w:p>
    <w:p w:rsidR="00290D73" w:rsidRPr="00290D73" w:rsidRDefault="00290D73" w:rsidP="00290D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 системы дают одинаковые исключительные права владельцу патента при разных процедурах экспертизы. Патент под ответственность заявителя выдается в короткие сроки, с проведением патентного поиска только по представленным заявителем материалам заявки, неотозванным заявкам с более ранним приоритетом, фонду выданных охранных документов Кыргызской Республики, а также опубликованным евразийским заявкам и патентам. Таким образом, ответственность возлагается на заявителя за возможные столкновения по ранее созданным в мире изобретениям.</w:t>
      </w:r>
    </w:p>
    <w:p w:rsidR="00290D73" w:rsidRPr="00290D73" w:rsidRDefault="00290D73" w:rsidP="00290D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гармонизации Закона с международными соглашениями в области интеллектуальной собственности и повышения качества экспертизы и выдаваемого охранного документа, предложено исключить «патент под ответственность заявителя». При реализации данного положения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Республике</w:t>
      </w: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установлена только проверочная экспертиза изобретений, согласно которой информационный поиск будет осуществляться по минимуму согласно Договору о патентной кооперации (РСТ) - это позволит повысить качество экспертизы, поскольку патент на изобретение будет выдаваться по результатам проверки промышленной применимости, мировой новизны и изобретательского уровня. После принятия предложенных изменений заявку на изобретение можно будет подать только на выдачу патента на изобретение.</w:t>
      </w:r>
    </w:p>
    <w:p w:rsidR="00290D73" w:rsidRPr="00290D73" w:rsidRDefault="00290D73" w:rsidP="00290D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Предлагается расширить перечень объектов на полезные модели, т.е. добавить к объекту «устройство» также объекты «способ» и «вещество» - таким образом расширяется понятие полезной модели.  Патент на полезную модель будет использоваться для защиты изобретений, которые, в первую очередь, вносят усовершенствования в устройство, вещество, способ или процесс и представляют определенный новаторский шаг. Условия патентоспособности полезной модели останутся без изменения, и полезной модели будет предоставляться правовая охрана, если она является новой и промышленно применимой. При этом патент на полезную модель, как малое изобретение, будет выдаваться под ответственность заявителя.</w:t>
      </w:r>
    </w:p>
    <w:p w:rsidR="00290D73" w:rsidRPr="00290D73" w:rsidRDefault="00290D73" w:rsidP="00290D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</w:t>
      </w: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достижения единообразия с Гаагским соглашением о международном депонировании промышленных образцов и с Протоколом об охране промышленных образцов к ЕАПК из числа требуемых документов по промышленным образцам предложено исключить перечень существенных признаков, что приведет к упрощению процедуры предоставления защиты и расширению объема охраны, предоставляемой патентом. </w:t>
      </w:r>
    </w:p>
    <w:p w:rsidR="00290D73" w:rsidRPr="00290D73" w:rsidRDefault="00290D73" w:rsidP="00290D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мировой практике при регистрации промышленных образцов отсутствует понятие выдачи «патента под ответственность заявителя» так как «новизна и оригинальность» промышленного образца проверяется из сведений общедоступных в мире.</w:t>
      </w:r>
    </w:p>
    <w:p w:rsidR="00290D73" w:rsidRPr="00290D73" w:rsidRDefault="00290D73" w:rsidP="00290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Предлагаемые дополнения соответствуют международным нормам и не вступают в противоречие с использованием патента и, с учетом законных интересов третьих лиц, не ущемляют законные интересы патентовладельца. </w:t>
      </w:r>
    </w:p>
    <w:p w:rsidR="00290D73" w:rsidRPr="00290D73" w:rsidRDefault="00290D73" w:rsidP="00290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проект Закона в части промышленных образцов приведен в соответствие с Протоколом о промышленных образцах к Евразийской патентной конвенции. Указанный Протокол ратифицирован Кыргызской Республикой </w:t>
      </w:r>
      <w:r w:rsidR="00050FCF">
        <w:rPr>
          <w:rFonts w:ascii="Times New Roman" w:eastAsia="Times New Roman" w:hAnsi="Times New Roman" w:cs="Times New Roman"/>
          <w:sz w:val="28"/>
          <w:szCs w:val="28"/>
          <w:lang w:eastAsia="ru-RU"/>
        </w:rPr>
        <w:t>3 июля 2020 года.</w:t>
      </w: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Проектом Закона предлагается увеличение срока правовой охраны промышленных образцов до 25 лет. Тогда как в действующем Патентном законе срок охраны промышленного образца составляет 15 лет.</w:t>
      </w:r>
    </w:p>
    <w:p w:rsidR="00290D73" w:rsidRPr="00290D73" w:rsidRDefault="00290D73" w:rsidP="00290D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действующем Законе, в качестве полезной модели охраняются только лишь устройства. В этой связи вносятся изменения, путем расширения перечня объектов, заявленных в качестве полезной модели.</w:t>
      </w:r>
    </w:p>
    <w:p w:rsidR="00290D73" w:rsidRPr="00290D73" w:rsidRDefault="00290D73" w:rsidP="00290D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полезной модели будут охраняться технические решения в любой области, относящиеся к продукту (в частности, устройству, веществу) или способу (процессу осуществления действий над материальным объектом с помощью материальных средств), в том числе к применению продукта или способа по определенному назначению. Соответственно увеличится количество подаваемых заявок на регистрацию полезной модели и как следствие увеличится поступление пошлин в республиканский бюджет. Также увеличен срок правовой охраны полезной модели с 8 до 10 лет.</w:t>
      </w:r>
    </w:p>
    <w:p w:rsidR="00290D73" w:rsidRPr="00290D73" w:rsidRDefault="00290D73" w:rsidP="00290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внесены изменения относительно сроков рассмотрения заявок, предлагается ввести в проект Закона ускоренную экспертизу на всех этапах. По этому вопросу был проведен анализ опыта Евразийского патентного ведомства (ЕАПВ) и Российского патентного ведомства (Роспатент). </w:t>
      </w:r>
    </w:p>
    <w:p w:rsidR="00290D73" w:rsidRPr="00290D73" w:rsidRDefault="00290D73" w:rsidP="00290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этом, при разработке проекта Закона были получены рекомендации Всемирной организации интеллектуальной </w:t>
      </w: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собственности (ВОИС) и было проведено обсуждение рекомендаций ВОИС с экспертом ВОИС.</w:t>
      </w:r>
    </w:p>
    <w:p w:rsidR="00290D73" w:rsidRPr="00290D73" w:rsidRDefault="00290D73" w:rsidP="00290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D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представленным проектом Закона, заявителю предоставляется возможность использования Системы электронной подачи заявок при подаче заявок на регистрацию изобретений, полезных моделей и промышленных образцов и получать уведомления о приеме и регистрации заявок, вести переписку по заявке в электронном виде до завершения делопроизводства через личный кабинет.</w:t>
      </w:r>
    </w:p>
    <w:p w:rsidR="00290D73" w:rsidRDefault="00290D73" w:rsidP="00290D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</w:t>
      </w:r>
      <w:r w:rsidRPr="006F18CA">
        <w:rPr>
          <w:rFonts w:ascii="Times New Roman" w:hAnsi="Times New Roman" w:cs="Times New Roman"/>
          <w:sz w:val="28"/>
          <w:szCs w:val="28"/>
        </w:rPr>
        <w:t xml:space="preserve"> изложенно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F18C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Кабинет Министров Кыргызской Республики считает целесообразным принятие данного Законопроекта</w:t>
      </w:r>
      <w:r w:rsidRPr="006F18CA">
        <w:rPr>
          <w:rFonts w:ascii="Times New Roman" w:hAnsi="Times New Roman" w:cs="Times New Roman"/>
          <w:sz w:val="28"/>
          <w:szCs w:val="28"/>
        </w:rPr>
        <w:t>.</w:t>
      </w:r>
    </w:p>
    <w:p w:rsidR="00290D73" w:rsidRDefault="00290D73" w:rsidP="00290D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0FCF" w:rsidRDefault="00050FCF" w:rsidP="00290D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D73" w:rsidRPr="006F18CA" w:rsidRDefault="00290D73" w:rsidP="00290D7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6F18CA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290D73" w:rsidRDefault="00290D73" w:rsidP="00290D7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– Руководитель </w:t>
      </w:r>
    </w:p>
    <w:p w:rsidR="00290D73" w:rsidRDefault="00290D73" w:rsidP="00290D7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Президента </w:t>
      </w:r>
    </w:p>
    <w:p w:rsidR="00290D73" w:rsidRPr="00702FA7" w:rsidRDefault="00290D73" w:rsidP="00C24AF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606DB" w:rsidRDefault="00D606DB"/>
    <w:sectPr w:rsidR="00D606DB" w:rsidSect="00050FCF">
      <w:footerReference w:type="default" r:id="rId8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3F8" w:rsidRDefault="003C43F8" w:rsidP="00050FCF">
      <w:pPr>
        <w:spacing w:after="0" w:line="240" w:lineRule="auto"/>
      </w:pPr>
      <w:r>
        <w:separator/>
      </w:r>
    </w:p>
  </w:endnote>
  <w:endnote w:type="continuationSeparator" w:id="0">
    <w:p w:rsidR="003C43F8" w:rsidRDefault="003C43F8" w:rsidP="00050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5188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0FCF" w:rsidRPr="00050FCF" w:rsidRDefault="00050FCF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50FC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0FC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0FC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F286A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050FC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50FCF" w:rsidRDefault="00050FC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3F8" w:rsidRDefault="003C43F8" w:rsidP="00050FCF">
      <w:pPr>
        <w:spacing w:after="0" w:line="240" w:lineRule="auto"/>
      </w:pPr>
      <w:r>
        <w:separator/>
      </w:r>
    </w:p>
  </w:footnote>
  <w:footnote w:type="continuationSeparator" w:id="0">
    <w:p w:rsidR="003C43F8" w:rsidRDefault="003C43F8" w:rsidP="00050F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D73"/>
    <w:rsid w:val="00050FCF"/>
    <w:rsid w:val="000F286A"/>
    <w:rsid w:val="00290D73"/>
    <w:rsid w:val="003C43F8"/>
    <w:rsid w:val="008B0FBC"/>
    <w:rsid w:val="00A37F8C"/>
    <w:rsid w:val="00C24AF4"/>
    <w:rsid w:val="00CC05BA"/>
    <w:rsid w:val="00D6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90D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90D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50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0FCF"/>
  </w:style>
  <w:style w:type="paragraph" w:styleId="a5">
    <w:name w:val="footer"/>
    <w:basedOn w:val="a"/>
    <w:link w:val="a6"/>
    <w:uiPriority w:val="99"/>
    <w:unhideWhenUsed/>
    <w:rsid w:val="00050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0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90D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90D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50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0FCF"/>
  </w:style>
  <w:style w:type="paragraph" w:styleId="a5">
    <w:name w:val="footer"/>
    <w:basedOn w:val="a"/>
    <w:link w:val="a6"/>
    <w:uiPriority w:val="99"/>
    <w:unhideWhenUsed/>
    <w:rsid w:val="00050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0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3785</cp:lastModifiedBy>
  <cp:revision>2</cp:revision>
  <dcterms:created xsi:type="dcterms:W3CDTF">2021-12-15T04:18:00Z</dcterms:created>
  <dcterms:modified xsi:type="dcterms:W3CDTF">2021-12-15T04:18:00Z</dcterms:modified>
</cp:coreProperties>
</file>